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pPr>
      <w:r>
        <w:drawing xmlns:a="http://schemas.openxmlformats.org/drawingml/2006/main">
          <wp:anchor distT="152400" distB="152400" distL="152400" distR="152400" simplePos="0" relativeHeight="251659264" behindDoc="0" locked="0" layoutInCell="1" allowOverlap="1">
            <wp:simplePos x="0" y="0"/>
            <wp:positionH relativeFrom="margin">
              <wp:posOffset>3289066</wp:posOffset>
            </wp:positionH>
            <wp:positionV relativeFrom="page">
              <wp:posOffset>143589</wp:posOffset>
            </wp:positionV>
            <wp:extent cx="3324217" cy="1009962"/>
            <wp:effectExtent l="0" t="0" r="0" b="0"/>
            <wp:wrapThrough wrapText="bothSides" distL="152400" distR="152400">
              <wp:wrapPolygon edited="1">
                <wp:start x="0" y="0"/>
                <wp:lineTo x="21600" y="0"/>
                <wp:lineTo x="21600" y="21600"/>
                <wp:lineTo x="0" y="21600"/>
                <wp:lineTo x="0" y="0"/>
              </wp:wrapPolygon>
            </wp:wrapThrough>
            <wp:docPr id="1073741825" name="officeArt object" descr="nmag hor black.jpg"/>
            <wp:cNvGraphicFramePr/>
            <a:graphic xmlns:a="http://schemas.openxmlformats.org/drawingml/2006/main">
              <a:graphicData uri="http://schemas.openxmlformats.org/drawingml/2006/picture">
                <pic:pic xmlns:pic="http://schemas.openxmlformats.org/drawingml/2006/picture">
                  <pic:nvPicPr>
                    <pic:cNvPr id="1073741825" name="nmag hor black.jpg" descr="nmag hor black.jpg"/>
                    <pic:cNvPicPr>
                      <a:picLocks noChangeAspect="1"/>
                    </pic:cNvPicPr>
                  </pic:nvPicPr>
                  <pic:blipFill>
                    <a:blip r:embed="rId4">
                      <a:extLst/>
                    </a:blip>
                    <a:stretch>
                      <a:fillRect/>
                    </a:stretch>
                  </pic:blipFill>
                  <pic:spPr>
                    <a:xfrm>
                      <a:off x="0" y="0"/>
                      <a:ext cx="3324217" cy="1009962"/>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sz w:val="60"/>
          <w:szCs w:val="60"/>
        </w:rPr>
      </w:pPr>
      <w:r>
        <w:rPr>
          <w:rFonts w:ascii="DM Serif Display Regular" w:hAnsi="DM Serif Display Regular"/>
          <w:sz w:val="60"/>
          <w:szCs w:val="60"/>
          <w:rtl w:val="0"/>
          <w:lang w:val="en-US"/>
        </w:rPr>
        <w:t>Press Release</w:t>
      </w:r>
    </w:p>
    <w:p>
      <w:pPr>
        <w:pStyle w:val="Body A"/>
        <w:suppressAutoHyphens w:val="1"/>
        <w:rPr>
          <w:rFonts w:ascii="Candara" w:cs="Candara" w:hAnsi="Candara" w:eastAsia="Candara"/>
          <w:b w:val="1"/>
          <w:bCs w:val="1"/>
        </w:rPr>
      </w:pPr>
    </w:p>
    <w:p>
      <w:pPr>
        <w:pStyle w:val="Body A"/>
        <w:suppressAutoHyphens w:val="1"/>
        <w:rPr>
          <w:rFonts w:ascii="Museo Sans 900" w:cs="Museo Sans 900" w:hAnsi="Museo Sans 900" w:eastAsia="Museo Sans 900"/>
          <w:lang w:val="pt-PT"/>
        </w:rPr>
      </w:pPr>
      <w:r>
        <w:rPr>
          <w:rFonts w:ascii="Museo Sans 500" w:hAnsi="Museo Sans 500"/>
          <w:rtl w:val="0"/>
          <w:lang w:val="pt-PT"/>
        </w:rPr>
        <w:t xml:space="preserve">Media contact: </w:t>
      </w:r>
    </w:p>
    <w:p>
      <w:pPr>
        <w:pStyle w:val="Body A"/>
        <w:suppressAutoHyphens w:val="1"/>
        <w:rPr>
          <w:rFonts w:ascii="Museo Sans 100" w:cs="Museo Sans 100" w:hAnsi="Museo Sans 100" w:eastAsia="Museo Sans 100"/>
        </w:rPr>
      </w:pPr>
      <w:r>
        <w:rPr>
          <w:rFonts w:ascii="Museo Sans 100" w:hAnsi="Museo Sans 100"/>
          <w:rtl w:val="0"/>
          <w:lang w:val="en-US"/>
        </w:rPr>
        <w:t xml:space="preserve">Stephanie Delnea, Communications </w:t>
      </w:r>
      <w:r>
        <w:rPr>
          <w:rFonts w:ascii="Museo Sans 100" w:hAnsi="Museo Sans 100"/>
          <w:rtl w:val="0"/>
          <w:lang w:val="en-US"/>
        </w:rPr>
        <w:t>and Development Manager</w:t>
      </w:r>
    </w:p>
    <w:p>
      <w:pPr>
        <w:pStyle w:val="Body A"/>
        <w:suppressAutoHyphens w:val="1"/>
        <w:rPr>
          <w:rFonts w:ascii="Museo Sans 100" w:cs="Museo Sans 100" w:hAnsi="Museo Sans 100" w:eastAsia="Museo Sans 100"/>
        </w:rPr>
      </w:pPr>
      <w:r>
        <w:rPr>
          <w:rFonts w:ascii="Museo Sans 100" w:hAnsi="Museo Sans 100"/>
          <w:rtl w:val="0"/>
          <w:lang w:val="en-US"/>
        </w:rPr>
        <w:t>Nelson Museum, Archives &amp; Gallery</w:t>
      </w:r>
    </w:p>
    <w:p>
      <w:pPr>
        <w:pStyle w:val="Body A"/>
        <w:suppressAutoHyphens w:val="1"/>
        <w:rPr>
          <w:rFonts w:ascii="Museo Sans 100" w:cs="Museo Sans 100" w:hAnsi="Museo Sans 100" w:eastAsia="Museo Sans 100"/>
        </w:rPr>
      </w:pPr>
      <w:r>
        <w:rPr>
          <w:rFonts w:ascii="Museo Sans 100" w:hAnsi="Museo Sans 100"/>
          <w:rtl w:val="0"/>
          <w:lang w:val="en-US"/>
        </w:rPr>
        <w:t>communications</w:t>
      </w:r>
      <w:r>
        <w:rPr>
          <w:rFonts w:ascii="Museo Sans 100" w:hAnsi="Museo Sans 100"/>
          <w:rtl w:val="0"/>
          <w:lang w:val="en-US"/>
        </w:rPr>
        <w:t>@</w:t>
      </w:r>
      <w:r>
        <w:rPr>
          <w:rFonts w:ascii="Museo Sans 100" w:hAnsi="Museo Sans 100"/>
          <w:rtl w:val="0"/>
          <w:lang w:val="en-US"/>
        </w:rPr>
        <w:t>nelsonmuseum.ca</w:t>
      </w:r>
    </w:p>
    <w:p>
      <w:pPr>
        <w:pStyle w:val="Body A"/>
        <w:suppressAutoHyphens w:val="1"/>
        <w:rPr>
          <w:rFonts w:ascii="Candara" w:cs="Candara" w:hAnsi="Candara" w:eastAsia="Candara"/>
        </w:rPr>
      </w:pPr>
      <w:r>
        <w:rPr>
          <w:rFonts w:ascii="Museo Sans 100" w:hAnsi="Museo Sans 100"/>
          <w:rtl w:val="0"/>
          <w:lang w:val="en-US"/>
        </w:rPr>
        <w:t>250.352.9813 x. 204</w:t>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Museo Sans 500" w:hAnsi="Museo Sans 500"/>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DM Serif Display Regular" w:cs="DM Serif Display Regular" w:hAnsi="DM Serif Display Regular" w:eastAsia="DM Serif Display Regular"/>
          <w:sz w:val="30"/>
          <w:szCs w:val="30"/>
        </w:rPr>
      </w:pPr>
      <w:r>
        <w:rPr>
          <w:rFonts w:ascii="DM Serif Display Regular" w:hAnsi="DM Serif Display Regular"/>
          <w:sz w:val="30"/>
          <w:szCs w:val="30"/>
          <w:rtl w:val="0"/>
          <w:lang w:val="en-US"/>
        </w:rPr>
        <w:t>D</w:t>
      </w:r>
      <w:r>
        <w:rPr>
          <w:rFonts w:ascii="DM Serif Display Regular" w:hAnsi="DM Serif Display Regular"/>
          <w:sz w:val="30"/>
          <w:szCs w:val="30"/>
          <w:rtl w:val="0"/>
          <w:lang w:val="en-US"/>
        </w:rPr>
        <w:t>avid Garneau</w:t>
      </w:r>
      <w:r>
        <w:rPr>
          <w:rFonts w:ascii="DM Serif Display Regular" w:hAnsi="DM Serif Display Regular" w:hint="default"/>
          <w:sz w:val="30"/>
          <w:szCs w:val="30"/>
          <w:rtl w:val="0"/>
          <w:lang w:val="en-US"/>
        </w:rPr>
        <w:t>’</w:t>
      </w:r>
      <w:r>
        <w:rPr>
          <w:rFonts w:ascii="DM Serif Display Regular" w:hAnsi="DM Serif Display Regular"/>
          <w:sz w:val="30"/>
          <w:szCs w:val="30"/>
          <w:rtl w:val="0"/>
          <w:lang w:val="en-US"/>
        </w:rPr>
        <w:t>s</w:t>
      </w:r>
      <w:r>
        <w:rPr>
          <w:rFonts w:ascii="DM Serif Display Regular" w:hAnsi="DM Serif Display Regular"/>
          <w:i w:val="1"/>
          <w:iCs w:val="1"/>
          <w:sz w:val="30"/>
          <w:szCs w:val="30"/>
          <w:rtl w:val="0"/>
          <w:lang w:val="en-US"/>
        </w:rPr>
        <w:t xml:space="preserve"> D</w:t>
      </w:r>
      <w:r>
        <w:rPr>
          <w:rFonts w:ascii="DM Serif Display Regular" w:hAnsi="DM Serif Display Regular"/>
          <w:i w:val="1"/>
          <w:iCs w:val="1"/>
          <w:sz w:val="30"/>
          <w:szCs w:val="30"/>
          <w:rtl w:val="0"/>
          <w:lang w:val="en-US"/>
        </w:rPr>
        <w:t xml:space="preserve">ark Chapters: </w:t>
      </w:r>
      <w:r>
        <w:rPr>
          <w:rFonts w:ascii="DM Serif Display Regular" w:hAnsi="DM Serif Display Regular"/>
          <w:sz w:val="30"/>
          <w:szCs w:val="30"/>
          <w:rtl w:val="0"/>
          <w:lang w:val="en-US"/>
        </w:rPr>
        <w:t xml:space="preserve">A </w:t>
      </w:r>
      <w:r>
        <w:rPr>
          <w:rFonts w:ascii="DM Serif Display Regular" w:hAnsi="DM Serif Display Regular"/>
          <w:sz w:val="30"/>
          <w:szCs w:val="30"/>
          <w:rtl w:val="0"/>
          <w:lang w:val="en-US"/>
        </w:rPr>
        <w:t>s</w:t>
      </w:r>
      <w:r>
        <w:rPr>
          <w:rFonts w:ascii="DM Serif Display Regular" w:hAnsi="DM Serif Display Regular"/>
          <w:sz w:val="30"/>
          <w:szCs w:val="30"/>
          <w:rtl w:val="0"/>
          <w:lang w:val="en-US"/>
        </w:rPr>
        <w:t xml:space="preserve">till </w:t>
      </w:r>
      <w:r>
        <w:rPr>
          <w:rFonts w:ascii="DM Serif Display Regular" w:hAnsi="DM Serif Display Regular"/>
          <w:sz w:val="30"/>
          <w:szCs w:val="30"/>
          <w:rtl w:val="0"/>
          <w:lang w:val="en-US"/>
        </w:rPr>
        <w:t>l</w:t>
      </w:r>
      <w:r>
        <w:rPr>
          <w:rFonts w:ascii="DM Serif Display Regular" w:hAnsi="DM Serif Display Regular"/>
          <w:sz w:val="30"/>
          <w:szCs w:val="30"/>
          <w:rtl w:val="0"/>
          <w:lang w:val="en-US"/>
        </w:rPr>
        <w:t xml:space="preserve">ife </w:t>
      </w:r>
      <w:r>
        <w:rPr>
          <w:rFonts w:ascii="DM Serif Display Regular" w:hAnsi="DM Serif Display Regular"/>
          <w:sz w:val="30"/>
          <w:szCs w:val="30"/>
          <w:rtl w:val="0"/>
          <w:lang w:val="en-US"/>
        </w:rPr>
        <w:t>e</w:t>
      </w:r>
      <w:r>
        <w:rPr>
          <w:rFonts w:ascii="DM Serif Display Regular" w:hAnsi="DM Serif Display Regular"/>
          <w:sz w:val="30"/>
          <w:szCs w:val="30"/>
          <w:rtl w:val="0"/>
          <w:lang w:val="en-US"/>
        </w:rPr>
        <w:t xml:space="preserve">xhibition </w:t>
      </w:r>
      <w:r>
        <w:rPr>
          <w:rFonts w:ascii="DM Serif Display Regular" w:hAnsi="DM Serif Display Regular"/>
          <w:sz w:val="30"/>
          <w:szCs w:val="30"/>
          <w:rtl w:val="0"/>
          <w:lang w:val="en-US"/>
        </w:rPr>
        <w:t>t</w:t>
      </w:r>
      <w:r>
        <w:rPr>
          <w:rFonts w:ascii="DM Serif Display Regular" w:hAnsi="DM Serif Display Regular"/>
          <w:sz w:val="30"/>
          <w:szCs w:val="30"/>
          <w:rtl w:val="0"/>
          <w:lang w:val="en-US"/>
        </w:rPr>
        <w:t xml:space="preserve">hat </w:t>
      </w:r>
      <w:r>
        <w:rPr>
          <w:rFonts w:ascii="DM Serif Display Regular" w:hAnsi="DM Serif Display Regular"/>
          <w:sz w:val="30"/>
          <w:szCs w:val="30"/>
          <w:rtl w:val="0"/>
          <w:lang w:val="en-US"/>
        </w:rPr>
        <w:t>s</w:t>
      </w:r>
      <w:r>
        <w:rPr>
          <w:rFonts w:ascii="DM Serif Display Regular" w:hAnsi="DM Serif Display Regular"/>
          <w:sz w:val="30"/>
          <w:szCs w:val="30"/>
          <w:rtl w:val="0"/>
          <w:lang w:val="en-US"/>
        </w:rPr>
        <w:t xml:space="preserve">peaks </w:t>
      </w:r>
      <w:r>
        <w:rPr>
          <w:rFonts w:ascii="DM Serif Display Regular" w:hAnsi="DM Serif Display Regular"/>
          <w:sz w:val="30"/>
          <w:szCs w:val="30"/>
          <w:rtl w:val="0"/>
          <w:lang w:val="en-US"/>
        </w:rPr>
        <w:t>v</w:t>
      </w:r>
      <w:r>
        <w:rPr>
          <w:rFonts w:ascii="DM Serif Display Regular" w:hAnsi="DM Serif Display Regular"/>
          <w:sz w:val="30"/>
          <w:szCs w:val="30"/>
          <w:rtl w:val="0"/>
          <w:lang w:val="en-US"/>
        </w:rPr>
        <w:t>olumes</w:t>
      </w:r>
      <w:r>
        <w:rPr>
          <w:rFonts w:ascii="DM Serif Display Regular" w:hAnsi="DM Serif Display Regular"/>
          <w:sz w:val="30"/>
          <w:szCs w:val="30"/>
          <w:rtl w:val="0"/>
          <w:lang w:val="en-US"/>
        </w:rPr>
        <w:t xml:space="preserve"> - opening Friday, March 21 at the Nelson Museum</w:t>
      </w:r>
    </w:p>
    <w:p>
      <w:pPr>
        <w:pStyle w:val="Body A"/>
        <w:shd w:val="clear" w:color="auto" w:fill="ffffff"/>
        <w:suppressAutoHyphens w:val="1"/>
        <w:jc w:val="center"/>
        <w:rPr>
          <w:rFonts w:ascii="Candara" w:cs="Candara" w:hAnsi="Candara" w:eastAsia="Candara"/>
        </w:rPr>
      </w:pPr>
      <w:r>
        <w:rPr>
          <w:rFonts w:ascii="DM Serif Display Regular" w:cs="DM Serif Display Regular" w:hAnsi="DM Serif Display Regular" w:eastAsia="DM Serif Display Regular"/>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2691646</wp:posOffset>
            </wp:positionH>
            <wp:positionV relativeFrom="line">
              <wp:posOffset>190500</wp:posOffset>
            </wp:positionV>
            <wp:extent cx="3245604" cy="2664100"/>
            <wp:effectExtent l="0" t="0" r="0" b="0"/>
            <wp:wrapThrough wrapText="bothSides" distL="152400" distR="152400">
              <wp:wrapPolygon edited="1">
                <wp:start x="0" y="0"/>
                <wp:lineTo x="21600" y="0"/>
                <wp:lineTo x="21600" y="21600"/>
                <wp:lineTo x="0" y="21600"/>
                <wp:lineTo x="0" y="0"/>
              </wp:wrapPolygon>
            </wp:wrapThrough>
            <wp:docPr id="1073741826" name="officeArt object" descr="“SUFFOCATING GRANDFATHER,” acrylic on panel, 61 x 50.5 cm, 2022 sm.jpg"/>
            <wp:cNvGraphicFramePr/>
            <a:graphic xmlns:a="http://schemas.openxmlformats.org/drawingml/2006/main">
              <a:graphicData uri="http://schemas.openxmlformats.org/drawingml/2006/picture">
                <pic:pic xmlns:pic="http://schemas.openxmlformats.org/drawingml/2006/picture">
                  <pic:nvPicPr>
                    <pic:cNvPr id="1073741826" name="“SUFFOCATING GRANDFATHER,” acrylic on panel, 61 x 50.5 cm, 2022 sm.jpg" descr="“SUFFOCATING GRANDFATHER,” acrylic on panel, 61 x 50.5 cm, 2022 sm.jpg"/>
                    <pic:cNvPicPr>
                      <a:picLocks noChangeAspect="1"/>
                    </pic:cNvPicPr>
                  </pic:nvPicPr>
                  <pic:blipFill>
                    <a:blip r:embed="rId5">
                      <a:extLst/>
                    </a:blip>
                    <a:stretch>
                      <a:fillRect/>
                    </a:stretch>
                  </pic:blipFill>
                  <pic:spPr>
                    <a:xfrm>
                      <a:off x="0" y="0"/>
                      <a:ext cx="3245604" cy="2664100"/>
                    </a:xfrm>
                    <a:prstGeom prst="rect">
                      <a:avLst/>
                    </a:prstGeom>
                    <a:ln w="12700" cap="flat">
                      <a:noFill/>
                      <a:miter lim="400000"/>
                    </a:ln>
                    <a:effectLst/>
                  </pic:spPr>
                </pic:pic>
              </a:graphicData>
            </a:graphic>
          </wp:anchor>
        </w:drawing>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700" w:hAnsi="Museo Sans 700"/>
          <w:outline w:val="0"/>
          <w:color w:val="000000"/>
          <w:shd w:val="clear" w:color="auto" w:fill="ffffff"/>
          <w:rtl w:val="0"/>
          <w:lang w:val="en-US"/>
          <w14:textFill>
            <w14:solidFill>
              <w14:srgbClr w14:val="000000">
                <w14:alpha w14:val="15294"/>
              </w14:srgbClr>
            </w14:solidFill>
          </w14:textFill>
        </w:rPr>
        <w:t>Nelson, BC</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March 13, 2025</w:t>
      </w:r>
      <w:r>
        <w:rPr>
          <w:rFonts w:ascii="Museo Sans 300" w:hAnsi="Museo Sans 300"/>
          <w:outline w:val="0"/>
          <w:color w:val="000000"/>
          <w:shd w:val="clear" w:color="auto" w:fill="ffffff"/>
          <w:rtl w:val="0"/>
          <w:lang w:val="en-US"/>
          <w14:textFill>
            <w14:solidFill>
              <w14:srgbClr w14:val="000000">
                <w14:alpha w14:val="15294"/>
              </w14:srgbClr>
            </w14:solidFill>
          </w14:textFill>
        </w:rPr>
        <w:t>) -</w:t>
      </w:r>
      <w:r>
        <w:rPr>
          <w:rFonts w:ascii="Arial" w:hAnsi="Arial"/>
          <w:outline w:val="0"/>
          <w:color w:val="000000"/>
          <w:sz w:val="24"/>
          <w:szCs w:val="24"/>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Rocks and books and bones, shadows and light, and the balance between these things; studied in isolation and interpreted by 17 leading artists, essayists, poets, and academics from coast to coast, and presented through the dual lens of publication and a touring exhibition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this is David Garneau</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Dark Chapters</w:t>
      </w:r>
      <w:r>
        <w:rPr>
          <w:rFonts w:ascii="Museo Sans 300" w:hAnsi="Museo Sans 300"/>
          <w:outline w:val="0"/>
          <w:color w:val="000000"/>
          <w:shd w:val="clear" w:color="auto" w:fill="ffffff"/>
          <w:rtl w:val="0"/>
          <w:lang w:val="en-US"/>
          <w14:textFill>
            <w14:solidFill>
              <w14:srgbClr w14:val="000000">
                <w14:alpha w14:val="15294"/>
              </w14:srgbClr>
            </w14:solidFill>
          </w14:textFill>
        </w:rPr>
        <w: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The subject matter of Garneau</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still life paintings include everyday objects combined with powerful symbols of his Indigenous heritage, such as a M</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é</w:t>
      </w:r>
      <w:r>
        <w:rPr>
          <w:rFonts w:ascii="Museo Sans 300" w:hAnsi="Museo Sans 300"/>
          <w:outline w:val="0"/>
          <w:color w:val="000000"/>
          <w:shd w:val="clear" w:color="auto" w:fill="ffffff"/>
          <w:rtl w:val="0"/>
          <w:lang w:val="en-US"/>
          <w14:textFill>
            <w14:solidFill>
              <w14:srgbClr w14:val="000000">
                <w14:alpha w14:val="15294"/>
              </w14:srgbClr>
            </w14:solidFill>
          </w14:textFill>
        </w:rPr>
        <w:t>tis</w:t>
      </w:r>
      <w:r>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2691646</wp:posOffset>
                </wp:positionH>
                <wp:positionV relativeFrom="line">
                  <wp:posOffset>259772</wp:posOffset>
                </wp:positionV>
                <wp:extent cx="3245604" cy="404574"/>
                <wp:effectExtent l="0" t="0" r="0" b="0"/>
                <wp:wrapThrough wrapText="bothSides" distL="152400" distR="152400">
                  <wp:wrapPolygon edited="1">
                    <wp:start x="0" y="0"/>
                    <wp:lineTo x="21600" y="0"/>
                    <wp:lineTo x="21600" y="21600"/>
                    <wp:lineTo x="0" y="21600"/>
                    <wp:lineTo x="0" y="0"/>
                  </wp:wrapPolygon>
                </wp:wrapThrough>
                <wp:docPr id="1073741827" name="officeArt object" descr="David Garneau, “Suffocating Grandfather”, 2022, acrylic on panel, 61 x 50.5 cm"/>
                <wp:cNvGraphicFramePr/>
                <a:graphic xmlns:a="http://schemas.openxmlformats.org/drawingml/2006/main">
                  <a:graphicData uri="http://schemas.microsoft.com/office/word/2010/wordprocessingShape">
                    <wps:wsp>
                      <wps:cNvSpPr txBox="1"/>
                      <wps:spPr>
                        <a:xfrm>
                          <a:off x="0" y="0"/>
                          <a:ext cx="3245604" cy="404574"/>
                        </a:xfrm>
                        <a:prstGeom prst="rect">
                          <a:avLst/>
                        </a:prstGeom>
                        <a:noFill/>
                        <a:ln w="12700" cap="flat">
                          <a:noFill/>
                          <a:miter lim="400000"/>
                        </a:ln>
                        <a:effectLst/>
                      </wps:spPr>
                      <wps:txbx>
                        <w:txbxContent>
                          <w:p>
                            <w:pPr>
                              <w:pStyle w:val="Caption"/>
                              <w:tabs>
                                <w:tab w:val="left" w:pos="1440"/>
                                <w:tab w:val="left" w:pos="2880"/>
                                <w:tab w:val="left" w:pos="4320"/>
                              </w:tabs>
                            </w:pPr>
                            <w:r>
                              <w:rPr>
                                <w:rFonts w:ascii="Museo Sans 300" w:hAnsi="Museo Sans 300"/>
                                <w:i w:val="1"/>
                                <w:iCs w:val="1"/>
                                <w:sz w:val="20"/>
                                <w:szCs w:val="20"/>
                                <w:rtl w:val="0"/>
                                <w:lang w:val="en-US"/>
                              </w:rPr>
                              <w:t xml:space="preserve">David Garneau, </w:t>
                            </w:r>
                            <w:r>
                              <w:rPr>
                                <w:rFonts w:ascii="Museo Sans 300" w:hAnsi="Museo Sans 300" w:hint="default"/>
                                <w:i w:val="1"/>
                                <w:iCs w:val="1"/>
                                <w:sz w:val="20"/>
                                <w:szCs w:val="20"/>
                                <w:rtl w:val="0"/>
                                <w:lang w:val="en-US"/>
                              </w:rPr>
                              <w:t>“</w:t>
                            </w:r>
                            <w:r>
                              <w:rPr>
                                <w:rFonts w:ascii="Museo Sans 300" w:hAnsi="Museo Sans 300"/>
                                <w:i w:val="1"/>
                                <w:iCs w:val="1"/>
                                <w:sz w:val="20"/>
                                <w:szCs w:val="20"/>
                                <w:rtl w:val="0"/>
                                <w:lang w:val="en-US"/>
                              </w:rPr>
                              <w:t>Suffocating Grandfather</w:t>
                            </w:r>
                            <w:r>
                              <w:rPr>
                                <w:rFonts w:ascii="Museo Sans 300" w:hAnsi="Museo Sans 300" w:hint="default"/>
                                <w:i w:val="1"/>
                                <w:iCs w:val="1"/>
                                <w:sz w:val="20"/>
                                <w:szCs w:val="20"/>
                                <w:rtl w:val="0"/>
                                <w:lang w:val="en-US"/>
                              </w:rPr>
                              <w:t>”</w:t>
                            </w:r>
                            <w:r>
                              <w:rPr>
                                <w:rFonts w:ascii="Museo Sans 300" w:hAnsi="Museo Sans 300"/>
                                <w:i w:val="1"/>
                                <w:iCs w:val="1"/>
                                <w:sz w:val="20"/>
                                <w:szCs w:val="20"/>
                                <w:rtl w:val="0"/>
                                <w:lang w:val="en-US"/>
                              </w:rPr>
                              <w:t>, 2022</w:t>
                            </w:r>
                            <w:r>
                              <w:rPr>
                                <w:rFonts w:ascii="Museo Sans 300" w:hAnsi="Museo Sans 300"/>
                                <w:i w:val="1"/>
                                <w:iCs w:val="1"/>
                                <w:sz w:val="20"/>
                                <w:szCs w:val="20"/>
                                <w:rtl w:val="0"/>
                                <w:lang w:val="en-US"/>
                              </w:rPr>
                              <w:t>, acrylic on panel, 61 x 50.5 cm</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11.9pt;margin-top:20.5pt;width:255.6pt;height:31.9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rFonts w:ascii="Museo Sans 300" w:hAnsi="Museo Sans 300"/>
                          <w:i w:val="1"/>
                          <w:iCs w:val="1"/>
                          <w:sz w:val="20"/>
                          <w:szCs w:val="20"/>
                          <w:rtl w:val="0"/>
                          <w:lang w:val="en-US"/>
                        </w:rPr>
                        <w:t xml:space="preserve">David Garneau, </w:t>
                      </w:r>
                      <w:r>
                        <w:rPr>
                          <w:rFonts w:ascii="Museo Sans 300" w:hAnsi="Museo Sans 300" w:hint="default"/>
                          <w:i w:val="1"/>
                          <w:iCs w:val="1"/>
                          <w:sz w:val="20"/>
                          <w:szCs w:val="20"/>
                          <w:rtl w:val="0"/>
                          <w:lang w:val="en-US"/>
                        </w:rPr>
                        <w:t>“</w:t>
                      </w:r>
                      <w:r>
                        <w:rPr>
                          <w:rFonts w:ascii="Museo Sans 300" w:hAnsi="Museo Sans 300"/>
                          <w:i w:val="1"/>
                          <w:iCs w:val="1"/>
                          <w:sz w:val="20"/>
                          <w:szCs w:val="20"/>
                          <w:rtl w:val="0"/>
                          <w:lang w:val="en-US"/>
                        </w:rPr>
                        <w:t>Suffocating Grandfather</w:t>
                      </w:r>
                      <w:r>
                        <w:rPr>
                          <w:rFonts w:ascii="Museo Sans 300" w:hAnsi="Museo Sans 300" w:hint="default"/>
                          <w:i w:val="1"/>
                          <w:iCs w:val="1"/>
                          <w:sz w:val="20"/>
                          <w:szCs w:val="20"/>
                          <w:rtl w:val="0"/>
                          <w:lang w:val="en-US"/>
                        </w:rPr>
                        <w:t>”</w:t>
                      </w:r>
                      <w:r>
                        <w:rPr>
                          <w:rFonts w:ascii="Museo Sans 300" w:hAnsi="Museo Sans 300"/>
                          <w:i w:val="1"/>
                          <w:iCs w:val="1"/>
                          <w:sz w:val="20"/>
                          <w:szCs w:val="20"/>
                          <w:rtl w:val="0"/>
                          <w:lang w:val="en-US"/>
                        </w:rPr>
                        <w:t>, 2022</w:t>
                      </w:r>
                      <w:r>
                        <w:rPr>
                          <w:rFonts w:ascii="Museo Sans 300" w:hAnsi="Museo Sans 300"/>
                          <w:i w:val="1"/>
                          <w:iCs w:val="1"/>
                          <w:sz w:val="20"/>
                          <w:szCs w:val="20"/>
                          <w:rtl w:val="0"/>
                          <w:lang w:val="en-US"/>
                        </w:rPr>
                        <w:t>, acrylic on panel, 61 x 50.5 cm</w:t>
                      </w:r>
                    </w:p>
                  </w:txbxContent>
                </v:textbox>
                <w10:wrap type="through" side="bothSides" anchorx="margin"/>
              </v:shape>
            </w:pict>
          </mc:Fallback>
        </mc:AlternateConten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sash and burning sweetgrass. As with traditional still life, the relationship of the objects provides the context, however Garneau adds another profound layer of meaning through the naming of the pieces, with titles like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Future Portrait of the Artist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(a skull on a plinth) and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Visiting a Relative in the National Gallery</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(a large display case covered in white cloth). The works are laden with possible interpretations.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Garneau provided no additional context, interviews, or explanation, asking the writers to rely instead on their own lived experiences as guidance.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The risks are numerous. Some writers are likely to create meanings that do not rhyme with the artist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intentions,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writes Garneau at the onset of the project in 2022.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At the same time, they might generate fresh ideas that cause me to rethink my work and produce new paintings that reflect or contend with the critiques.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The result is a stunning collection of essays, poetry, and anthropological study from contributors including Fred Wah, Susan Musgrave, Paul Seesequasis, David Howe, Rita Bouvier, Jesse Wente, Billy-Ray Belcourt, Peter Morin</w:t>
      </w:r>
      <w:r>
        <w:rPr>
          <w:rFonts w:ascii="Museo Sans 300" w:hAnsi="Museo Sans 300"/>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and more. The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 xml:space="preserve">Dark Chapters </w:t>
      </w:r>
      <w:r>
        <w:rPr>
          <w:rFonts w:ascii="Museo Sans 300" w:hAnsi="Museo Sans 300"/>
          <w:outline w:val="0"/>
          <w:color w:val="000000"/>
          <w:shd w:val="clear" w:color="auto" w:fill="ffffff"/>
          <w:rtl w:val="0"/>
          <w:lang w:val="en-US"/>
          <w14:textFill>
            <w14:solidFill>
              <w14:srgbClr w14:val="000000">
                <w14:alpha w14:val="15294"/>
              </w14:srgbClr>
            </w14:solidFill>
          </w14:textFill>
        </w:rPr>
        <w:t>exhibition premieres at the Nelson Museum, Archives &amp; Gallery on Friday, March 21</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at 7pm</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featuring a discussion with Garneau and Wah about the origins and process of the project.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Every artwork from the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Dark Chapters</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book</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will be on display, alongside the texts they inspired. Viewers will experience the conversation between visual art and the written word, engaging directly with the layered meanings of each piece.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Garneau has subverted the still life tradition in meaningful ways, with both serious and sarcastic combinations that carry complex cultural conversations,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says Nelson Museum Curator Arin Fay.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The book that accompanies the exhibition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Dark Chapters: Reading the Still Lives of David Garneau</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is intended to inspire, educate and pay homage to the works, giving voice to the complexity and expansiveness of visual and literary language, and the power and importance of perspective.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We are excited for our members and visitors to experience this exhibition and come to their own conclusions and contributing to the fascinating conversation that David has created.</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The thread tying the diverse writings together is a shared appreciation for Garneau and his work, and for the opportunity to engage in such a unique conversation, which has time and space to continue: was Garneau</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initial outlook correct? Has this experience changed the way he interprets his own process? Was it worth the risk?</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What an invitation, to be a small part of this incredible creative enterprise with so many people,</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says contributor Rita Bouvier,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to hear all the voices and to see old friends and make new ones, and now, to sit quietly with</w:t>
      </w:r>
      <w:r>
        <w:rPr>
          <w:rFonts w:ascii="MuseoSans-500Italic" w:hAnsi="MuseoSans-500Italic" w:hint="default"/>
          <w:i w:val="1"/>
          <w:iCs w:val="1"/>
          <w:outline w:val="0"/>
          <w:color w:val="000000"/>
          <w:shd w:val="clear" w:color="auto" w:fill="ffffff"/>
          <w:rtl w:val="0"/>
          <w:lang w:val="en-US"/>
          <w14:textFill>
            <w14:solidFill>
              <w14:srgbClr w14:val="000000">
                <w14:alpha w14:val="15294"/>
              </w14:srgbClr>
            </w14:solidFill>
          </w14:textFill>
        </w:rPr>
        <w:t>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Dark Chapters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r>
        <w:rPr>
          <w:rFonts w:ascii="Museo Sans 300" w:hAnsi="Museo Sans 300"/>
          <w:outline w:val="0"/>
          <w:color w:val="000000"/>
          <w:shd w:val="clear" w:color="auto" w:fill="ffffff"/>
          <w:rtl w:val="0"/>
          <w:lang w:val="en-US"/>
          <w14:textFill>
            <w14:solidFill>
              <w14:srgbClr w14:val="000000">
                <w14:alpha w14:val="15294"/>
              </w14:srgbClr>
            </w14:solidFill>
          </w14:textFill>
        </w:rPr>
        <w:t>and to read and re-read every piece carefully. All I can muster is nan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â</w:t>
      </w:r>
      <w:r>
        <w:rPr>
          <w:rFonts w:ascii="Museo Sans 300" w:hAnsi="Museo Sans 300"/>
          <w:outline w:val="0"/>
          <w:color w:val="000000"/>
          <w:shd w:val="clear" w:color="auto" w:fill="ffffff"/>
          <w:rtl w:val="0"/>
          <w:lang w:val="en-US"/>
          <w14:textFill>
            <w14:solidFill>
              <w14:srgbClr w14:val="000000">
                <w14:alpha w14:val="15294"/>
              </w14:srgbClr>
            </w14:solidFill>
          </w14:textFill>
        </w:rPr>
        <w:t>skomowin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thankfulness to have been a part of it all.</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The March 6 book launch at the Mackenzie Art Gallery in Regina, SK, was an unforgettable experience, setting the stage for the exhibition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premiere at the Nelson Museum. Twelve of the 17 contributors were in attendance; reading from their works and evoking emotional responses from the audience bringing them from raucous laughter to the brink of tears.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Special thanks</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to the Canada Council for the Arts for funding the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Dark Chapters</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project, and to the University of Regina Press for partnering with the Nelson Museum to see this project to fruition.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David Garneau (M</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é</w:t>
      </w:r>
      <w:r>
        <w:rPr>
          <w:rFonts w:ascii="Museo Sans 300" w:hAnsi="Museo Sans 300"/>
          <w:outline w:val="0"/>
          <w:color w:val="000000"/>
          <w:shd w:val="clear" w:color="auto" w:fill="ffffff"/>
          <w:rtl w:val="0"/>
          <w:lang w:val="en-US"/>
          <w14:textFill>
            <w14:solidFill>
              <w14:srgbClr w14:val="000000">
                <w14:alpha w14:val="15294"/>
              </w14:srgbClr>
            </w14:solidFill>
          </w14:textFill>
        </w:rPr>
        <w:t>tis) is a Professor of Visual Arts at the University of Regina. He is a painter, curator, and writer who engages creative and critical expressions of Indigenous contemporary ways of knowing, being, and doing. In 2023, he received the Governor General</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Award in Visual and Media Art: Outstanding Achievement and was inducted into the Royal Society of Canada.</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For more information on the exhibitions, programs, and events at the Nelson Museum, visit nelsonmuseum.ca</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pPr>
      <w:r>
        <w:rPr>
          <w:rFonts w:ascii="Museo Sans 300" w:hAnsi="Museo Sans 300"/>
          <w:outline w:val="0"/>
          <w:color w:val="000000"/>
          <w:shd w:val="clear" w:color="auto" w:fill="ffffff"/>
          <w:rtl w:val="0"/>
          <w:lang w:val="en-US"/>
          <w14:textFill>
            <w14:solidFill>
              <w14:srgbClr w14:val="000000">
                <w14:alpha w14:val="15294"/>
              </w14:srgbClr>
            </w14:solidFill>
          </w14:textFill>
        </w:rPr>
        <w:t>-30-</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r>
        <w:rPr>
          <w:rFonts w:ascii="Museo Sans 300" w:cs="Museo Sans 300" w:hAnsi="Museo Sans 300" w:eastAsia="Museo Sans 300"/>
          <w:outline w:val="0"/>
          <w:color w:val="000000"/>
          <w:sz w:val="24"/>
          <w:szCs w:val="24"/>
          <w:shd w:val="clear" w:color="auto" w:fill="ffffff"/>
          <w14:textFill>
            <w14:solidFill>
              <w14:srgbClr w14:val="000000">
                <w14:alpha w14:val="15294"/>
              </w14:srgbClr>
            </w14:solidFill>
          </w14:textFill>
        </w:rPr>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erif Display Regular">
    <w:charset w:val="00"/>
    <w:family w:val="roman"/>
    <w:pitch w:val="default"/>
  </w:font>
  <w:font w:name="Candara">
    <w:charset w:val="00"/>
    <w:family w:val="roman"/>
    <w:pitch w:val="default"/>
  </w:font>
  <w:font w:name="Museo Sans 500">
    <w:charset w:val="00"/>
    <w:family w:val="roman"/>
    <w:pitch w:val="default"/>
  </w:font>
  <w:font w:name="Museo Sans 900">
    <w:charset w:val="00"/>
    <w:family w:val="roman"/>
    <w:pitch w:val="default"/>
  </w:font>
  <w:font w:name="Museo Sans 100">
    <w:charset w:val="00"/>
    <w:family w:val="roman"/>
    <w:pitch w:val="default"/>
  </w:font>
  <w:font w:name="Museo Sans 300">
    <w:charset w:val="00"/>
    <w:family w:val="roman"/>
    <w:pitch w:val="default"/>
  </w:font>
  <w:font w:name="Museo Sans 700">
    <w:charset w:val="00"/>
    <w:family w:val="roman"/>
    <w:pitch w:val="default"/>
  </w:font>
  <w:font w:name="MuseoSans-500Ital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